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F06" w14:textId="77777777" w:rsidR="00943A16" w:rsidRDefault="000856BF" w:rsidP="006418A2">
      <w:pPr>
        <w:spacing w:after="0" w:line="240" w:lineRule="auto"/>
        <w:outlineLvl w:val="1"/>
        <w:rPr>
          <w:rFonts w:ascii="Arial" w:eastAsia="Times New Roman" w:hAnsi="Arial" w:cs="Arial"/>
          <w:color w:val="222222"/>
          <w:sz w:val="60"/>
          <w:szCs w:val="60"/>
          <w:lang w:val="en"/>
        </w:rPr>
      </w:pPr>
      <w:r w:rsidRPr="0043708A">
        <w:rPr>
          <w:rFonts w:ascii="Arial" w:eastAsia="Times New Roman" w:hAnsi="Arial" w:cs="Arial"/>
          <w:color w:val="222222"/>
          <w:sz w:val="60"/>
          <w:szCs w:val="60"/>
          <w:lang w:val="en"/>
        </w:rPr>
        <w:t>FAQ</w:t>
      </w:r>
    </w:p>
    <w:p w14:paraId="31C2230E" w14:textId="77777777" w:rsidR="00C53E41" w:rsidRPr="0043708A" w:rsidRDefault="000856BF" w:rsidP="006418A2">
      <w:pPr>
        <w:spacing w:after="0" w:line="240" w:lineRule="auto"/>
        <w:outlineLvl w:val="1"/>
        <w:rPr>
          <w:rFonts w:ascii="Arial" w:eastAsia="Times New Roman" w:hAnsi="Arial" w:cs="Arial"/>
          <w:b/>
          <w:bCs/>
          <w:color w:val="222222"/>
          <w:lang w:val="en"/>
        </w:rPr>
      </w:pPr>
      <w:r w:rsidRPr="0043708A">
        <w:rPr>
          <w:rFonts w:ascii="Arial" w:eastAsia="Times New Roman" w:hAnsi="Arial" w:cs="Arial"/>
          <w:b/>
          <w:bCs/>
          <w:color w:val="222222"/>
          <w:u w:val="single"/>
          <w:lang w:val="en"/>
        </w:rPr>
        <w:t>What types of award are available?</w:t>
      </w:r>
      <w:r w:rsidRPr="0043708A">
        <w:rPr>
          <w:rFonts w:ascii="Arial" w:eastAsia="Times New Roman" w:hAnsi="Arial" w:cs="Arial"/>
          <w:color w:val="222222"/>
          <w:lang w:val="en"/>
        </w:rPr>
        <w:br/>
      </w:r>
    </w:p>
    <w:p w14:paraId="7FC79CCF" w14:textId="536DB923" w:rsidR="00F831E1" w:rsidRDefault="000856BF" w:rsidP="006418A2">
      <w:pPr>
        <w:spacing w:after="0" w:line="240" w:lineRule="auto"/>
        <w:outlineLvl w:val="1"/>
        <w:rPr>
          <w:rFonts w:ascii="Arial" w:hAnsi="Arial" w:cs="Arial"/>
        </w:rPr>
      </w:pPr>
      <w:r w:rsidRPr="0043708A">
        <w:rPr>
          <w:rFonts w:ascii="Arial" w:eastAsia="Times New Roman" w:hAnsi="Arial" w:cs="Arial"/>
          <w:b/>
          <w:bCs/>
          <w:color w:val="222222"/>
          <w:lang w:val="en"/>
        </w:rPr>
        <w:t>A. Major Grants</w:t>
      </w:r>
      <w:r w:rsidR="00C53E41" w:rsidRPr="0043708A">
        <w:rPr>
          <w:rFonts w:ascii="Arial" w:eastAsia="Times New Roman" w:hAnsi="Arial" w:cs="Arial"/>
          <w:b/>
          <w:bCs/>
          <w:color w:val="222222"/>
          <w:lang w:val="en"/>
        </w:rPr>
        <w:t xml:space="preserve"> </w:t>
      </w:r>
      <w:r w:rsidR="00F831E1">
        <w:rPr>
          <w:rFonts w:ascii="Arial" w:hAnsi="Arial" w:cs="Arial"/>
        </w:rPr>
        <w:t>– this program is being redesigned. The CRF will not offer a Major Grant in 202</w:t>
      </w:r>
      <w:r w:rsidR="006418A2">
        <w:rPr>
          <w:rFonts w:ascii="Arial" w:hAnsi="Arial" w:cs="Arial"/>
        </w:rPr>
        <w:t>1</w:t>
      </w:r>
      <w:r w:rsidR="00F831E1">
        <w:rPr>
          <w:rFonts w:ascii="Arial" w:hAnsi="Arial" w:cs="Arial"/>
        </w:rPr>
        <w:t>.</w:t>
      </w:r>
    </w:p>
    <w:p w14:paraId="27D7B167" w14:textId="77777777" w:rsidR="00C53E41" w:rsidRPr="00C53E41" w:rsidRDefault="000856BF" w:rsidP="006418A2">
      <w:pPr>
        <w:spacing w:after="0" w:line="240" w:lineRule="auto"/>
        <w:outlineLvl w:val="1"/>
        <w:rPr>
          <w:rFonts w:ascii="Arial" w:hAnsi="Arial" w:cs="Arial"/>
        </w:rPr>
      </w:pPr>
      <w:r w:rsidRPr="0043708A">
        <w:rPr>
          <w:rFonts w:ascii="Arial" w:eastAsia="Times New Roman" w:hAnsi="Arial" w:cs="Arial"/>
          <w:color w:val="222222"/>
          <w:lang w:val="en"/>
        </w:rPr>
        <w:br/>
      </w:r>
      <w:r w:rsidRPr="0043708A">
        <w:rPr>
          <w:rFonts w:ascii="Arial" w:eastAsia="Times New Roman" w:hAnsi="Arial" w:cs="Arial"/>
          <w:b/>
          <w:bCs/>
          <w:color w:val="222222"/>
          <w:lang w:val="en"/>
        </w:rPr>
        <w:t>B. Seed Grants (</w:t>
      </w:r>
      <w:r w:rsidRPr="0043708A">
        <w:rPr>
          <w:rFonts w:ascii="Arial" w:eastAsia="Times New Roman" w:hAnsi="Arial" w:cs="Arial"/>
          <w:b/>
          <w:color w:val="222222"/>
          <w:lang w:val="en"/>
        </w:rPr>
        <w:t>up to $50,000 per team)</w:t>
      </w:r>
    </w:p>
    <w:p w14:paraId="18BD8E2B" w14:textId="242BEEA1" w:rsidR="00C53E41" w:rsidRDefault="00C53E41" w:rsidP="006418A2">
      <w:pPr>
        <w:spacing w:after="0" w:line="240" w:lineRule="auto"/>
        <w:ind w:left="360"/>
        <w:rPr>
          <w:rFonts w:ascii="Arial" w:eastAsia="MS Gothic" w:hAnsi="Arial" w:cs="Arial"/>
          <w:bCs/>
          <w:lang w:val="en"/>
        </w:rPr>
      </w:pPr>
      <w:r w:rsidRPr="00C53E41">
        <w:rPr>
          <w:rFonts w:ascii="Arial" w:hAnsi="Arial" w:cs="Arial"/>
        </w:rPr>
        <w:t>Proposals may include requests for up to $25,000 in cash; the remainder (</w:t>
      </w:r>
      <w:proofErr w:type="gramStart"/>
      <w:r w:rsidRPr="00C53E41">
        <w:rPr>
          <w:rFonts w:ascii="Arial" w:hAnsi="Arial" w:cs="Arial"/>
        </w:rPr>
        <w:t>i.e.</w:t>
      </w:r>
      <w:proofErr w:type="gramEnd"/>
      <w:r w:rsidRPr="00C53E41">
        <w:rPr>
          <w:rFonts w:ascii="Arial" w:hAnsi="Arial" w:cs="Arial"/>
        </w:rPr>
        <w:t xml:space="preserve"> up to the maximum of $50,000) </w:t>
      </w:r>
      <w:r w:rsidRPr="00C53E41">
        <w:rPr>
          <w:rFonts w:ascii="Arial" w:eastAsia="MS Gothic" w:hAnsi="Arial" w:cs="Arial"/>
          <w:bCs/>
          <w:lang w:val="en"/>
        </w:rPr>
        <w:t>may be used to pay for work done in a CSM clinical research facility (Clinical Research Unit [CRU] or Heritage Medical Research Clinic [HMRC]).</w:t>
      </w:r>
    </w:p>
    <w:p w14:paraId="446E4CE3" w14:textId="77777777" w:rsidR="006418A2" w:rsidRPr="00C53E41" w:rsidRDefault="006418A2" w:rsidP="006418A2">
      <w:pPr>
        <w:spacing w:after="0" w:line="240" w:lineRule="auto"/>
        <w:ind w:left="360"/>
        <w:rPr>
          <w:rFonts w:ascii="Arial" w:hAnsi="Arial" w:cs="Arial"/>
        </w:rPr>
      </w:pPr>
    </w:p>
    <w:p w14:paraId="24FE0900" w14:textId="77777777" w:rsidR="006418A2" w:rsidRDefault="00C53E41" w:rsidP="006418A2">
      <w:pPr>
        <w:tabs>
          <w:tab w:val="left" w:pos="90"/>
          <w:tab w:val="left" w:pos="426"/>
        </w:tabs>
        <w:spacing w:after="0" w:line="240" w:lineRule="auto"/>
        <w:ind w:left="360"/>
        <w:rPr>
          <w:rFonts w:ascii="Arial" w:eastAsia="MS Gothic" w:hAnsi="Arial" w:cs="Arial"/>
          <w:bCs/>
          <w:lang w:val="en-CA"/>
        </w:rPr>
      </w:pPr>
      <w:r w:rsidRPr="00C53E41">
        <w:rPr>
          <w:rFonts w:ascii="Arial" w:eastAsia="MS Gothic" w:hAnsi="Arial" w:cs="Arial"/>
          <w:bCs/>
          <w:lang w:val="en"/>
        </w:rPr>
        <w:t xml:space="preserve">These are designed to seed new ideas for investigation, with the expectation that such data and collaborations will result in the submission of one or more peer-reviewed clinical research applications or the securing of industry support for clinical research. These </w:t>
      </w:r>
      <w:r w:rsidRPr="00C53E41">
        <w:rPr>
          <w:rFonts w:ascii="Arial" w:eastAsia="MS Gothic" w:hAnsi="Arial" w:cs="Arial"/>
          <w:bCs/>
          <w:lang w:val="en-CA"/>
        </w:rPr>
        <w:t xml:space="preserve">will be available to support clinical research, including studies of therapies, diagnostic tools, </w:t>
      </w:r>
      <w:proofErr w:type="gramStart"/>
      <w:r w:rsidRPr="00C53E41">
        <w:rPr>
          <w:rFonts w:ascii="Arial" w:eastAsia="MS Gothic" w:hAnsi="Arial" w:cs="Arial"/>
          <w:bCs/>
          <w:lang w:val="en-CA"/>
        </w:rPr>
        <w:t>pharmaceuticals</w:t>
      </w:r>
      <w:proofErr w:type="gramEnd"/>
      <w:r w:rsidRPr="00C53E41">
        <w:rPr>
          <w:rFonts w:ascii="Arial" w:eastAsia="MS Gothic" w:hAnsi="Arial" w:cs="Arial"/>
          <w:bCs/>
          <w:lang w:val="en-CA"/>
        </w:rPr>
        <w:t xml:space="preserve"> and prevention strategies in humans, as </w:t>
      </w:r>
      <w:r w:rsidRPr="00F831E1">
        <w:rPr>
          <w:rFonts w:ascii="Arial" w:eastAsia="MS Gothic" w:hAnsi="Arial" w:cs="Arial"/>
          <w:bCs/>
          <w:lang w:val="en-CA"/>
        </w:rPr>
        <w:t>well as comparative evaluations of those interventions against each other and against existing practices.</w:t>
      </w:r>
    </w:p>
    <w:p w14:paraId="24E03E86" w14:textId="77777777" w:rsidR="006418A2" w:rsidRDefault="006418A2" w:rsidP="006418A2">
      <w:pPr>
        <w:tabs>
          <w:tab w:val="left" w:pos="90"/>
          <w:tab w:val="left" w:pos="426"/>
        </w:tabs>
        <w:spacing w:after="0" w:line="240" w:lineRule="auto"/>
        <w:ind w:left="360"/>
        <w:rPr>
          <w:rFonts w:ascii="Arial" w:eastAsia="MS Gothic" w:hAnsi="Arial" w:cs="Arial"/>
          <w:bCs/>
          <w:lang w:val="en-CA"/>
        </w:rPr>
      </w:pPr>
    </w:p>
    <w:p w14:paraId="3B03C19E" w14:textId="5688755C" w:rsidR="00C53E41" w:rsidRDefault="00C53E41" w:rsidP="006418A2">
      <w:pPr>
        <w:tabs>
          <w:tab w:val="left" w:pos="90"/>
          <w:tab w:val="left" w:pos="426"/>
        </w:tabs>
        <w:spacing w:after="0" w:line="240" w:lineRule="auto"/>
        <w:ind w:left="360"/>
        <w:rPr>
          <w:rFonts w:ascii="Arial" w:eastAsia="MS Gothic" w:hAnsi="Arial" w:cs="Arial"/>
          <w:bCs/>
          <w:lang w:val="en-CA"/>
        </w:rPr>
      </w:pPr>
      <w:r w:rsidRPr="0043708A">
        <w:rPr>
          <w:rFonts w:ascii="Arial" w:eastAsia="MS Gothic" w:hAnsi="Arial" w:cs="Arial"/>
          <w:bCs/>
          <w:lang w:val="en-CA"/>
        </w:rPr>
        <w:t>Basic research related to identifiable human tissues, retrospective analyses, surveys, and other types of CIHR pillar 1 research are not eligible for funding by the CRF</w:t>
      </w:r>
      <w:r w:rsidRPr="00F831E1">
        <w:rPr>
          <w:rFonts w:ascii="Arial" w:eastAsia="MS Gothic" w:hAnsi="Arial" w:cs="Arial"/>
          <w:bCs/>
          <w:lang w:val="en-CA"/>
        </w:rPr>
        <w:t>.</w:t>
      </w:r>
    </w:p>
    <w:p w14:paraId="4C0B1C8B" w14:textId="77777777" w:rsidR="006418A2" w:rsidRDefault="006418A2" w:rsidP="006418A2">
      <w:pPr>
        <w:tabs>
          <w:tab w:val="left" w:pos="90"/>
          <w:tab w:val="left" w:pos="426"/>
        </w:tabs>
        <w:spacing w:after="0" w:line="240" w:lineRule="auto"/>
        <w:ind w:left="360"/>
        <w:rPr>
          <w:rFonts w:ascii="Arial" w:eastAsia="MS Gothic" w:hAnsi="Arial" w:cs="Arial"/>
          <w:bCs/>
          <w:lang w:val="en-CA"/>
        </w:rPr>
      </w:pPr>
    </w:p>
    <w:p w14:paraId="7B78E4FD" w14:textId="77777777" w:rsidR="00C53E41" w:rsidRPr="00C53E41" w:rsidRDefault="00C53E41" w:rsidP="006418A2">
      <w:pPr>
        <w:tabs>
          <w:tab w:val="left" w:pos="90"/>
          <w:tab w:val="left" w:pos="426"/>
        </w:tabs>
        <w:spacing w:after="0" w:line="240" w:lineRule="auto"/>
        <w:ind w:left="360"/>
        <w:rPr>
          <w:rFonts w:ascii="Arial" w:eastAsia="MS Gothic" w:hAnsi="Arial" w:cs="Arial"/>
          <w:bCs/>
          <w:lang w:val="en"/>
        </w:rPr>
      </w:pPr>
      <w:r w:rsidRPr="00C53E41">
        <w:rPr>
          <w:rFonts w:ascii="Arial" w:eastAsia="MS Gothic" w:hAnsi="Arial" w:cs="Arial"/>
          <w:bCs/>
          <w:lang w:val="en"/>
        </w:rPr>
        <w:t xml:space="preserve">Accepting a seed grant from the </w:t>
      </w:r>
      <w:proofErr w:type="spellStart"/>
      <w:r w:rsidRPr="00C53E41">
        <w:rPr>
          <w:rFonts w:ascii="Arial" w:eastAsia="MS Gothic" w:hAnsi="Arial" w:cs="Arial"/>
          <w:bCs/>
          <w:lang w:val="en"/>
        </w:rPr>
        <w:t>UCalgary</w:t>
      </w:r>
      <w:proofErr w:type="spellEnd"/>
      <w:r w:rsidRPr="00C53E41">
        <w:rPr>
          <w:rFonts w:ascii="Arial" w:eastAsia="MS Gothic" w:hAnsi="Arial" w:cs="Arial"/>
          <w:bCs/>
          <w:lang w:val="en"/>
        </w:rPr>
        <w:t xml:space="preserve"> Clinical Research Fund constitutes a commitment that results will be used as the basis for an application to a Tri-Council agency within two years. Applications for seed grants will be accepted twice yearly (deadlines July 15, December 15).</w:t>
      </w:r>
    </w:p>
    <w:p w14:paraId="67F5ACBA" w14:textId="77777777" w:rsidR="00C53E41" w:rsidRPr="00C53E41" w:rsidRDefault="000856BF" w:rsidP="006418A2">
      <w:pPr>
        <w:tabs>
          <w:tab w:val="left" w:pos="90"/>
          <w:tab w:val="left" w:pos="426"/>
        </w:tabs>
        <w:spacing w:after="0" w:line="240" w:lineRule="auto"/>
        <w:ind w:left="360"/>
        <w:rPr>
          <w:rFonts w:ascii="Arial" w:eastAsia="MS Gothic" w:hAnsi="Arial" w:cs="Arial"/>
          <w:bCs/>
          <w:lang w:val="en"/>
        </w:rPr>
      </w:pPr>
      <w:r w:rsidRPr="0043708A">
        <w:rPr>
          <w:rFonts w:ascii="Arial" w:eastAsia="Times New Roman" w:hAnsi="Arial" w:cs="Arial"/>
          <w:color w:val="222222"/>
          <w:lang w:val="en"/>
        </w:rPr>
        <w:br/>
      </w:r>
      <w:r w:rsidRPr="0043708A">
        <w:rPr>
          <w:rFonts w:ascii="Arial" w:eastAsia="Times New Roman" w:hAnsi="Arial" w:cs="Arial"/>
          <w:b/>
          <w:bCs/>
          <w:color w:val="222222"/>
          <w:lang w:val="en"/>
        </w:rPr>
        <w:t>C. Pre-submission, Planning or Data Collection Grants</w:t>
      </w:r>
      <w:r w:rsidRPr="0043708A">
        <w:rPr>
          <w:rFonts w:ascii="Arial" w:eastAsia="Times New Roman" w:hAnsi="Arial" w:cs="Arial"/>
          <w:b/>
          <w:color w:val="222222"/>
          <w:lang w:val="en"/>
        </w:rPr>
        <w:t xml:space="preserve"> (up to $10,000 per team)</w:t>
      </w:r>
      <w:r w:rsidRPr="0043708A">
        <w:rPr>
          <w:rFonts w:ascii="Arial" w:eastAsia="Times New Roman" w:hAnsi="Arial" w:cs="Arial"/>
          <w:color w:val="222222"/>
          <w:lang w:val="en"/>
        </w:rPr>
        <w:br/>
      </w:r>
      <w:bookmarkStart w:id="0" w:name="OLE_LINK3"/>
      <w:bookmarkStart w:id="1" w:name="OLE_LINK4"/>
    </w:p>
    <w:p w14:paraId="28021529" w14:textId="6152DD55" w:rsidR="006418A2" w:rsidRDefault="00C53E41" w:rsidP="006418A2">
      <w:pPr>
        <w:tabs>
          <w:tab w:val="left" w:pos="90"/>
          <w:tab w:val="left" w:pos="426"/>
        </w:tabs>
        <w:spacing w:after="0" w:line="240" w:lineRule="auto"/>
        <w:ind w:left="360"/>
        <w:rPr>
          <w:rFonts w:ascii="Arial" w:eastAsia="MS Gothic" w:hAnsi="Arial" w:cs="Arial"/>
          <w:bCs/>
          <w:lang w:val="en-CA"/>
        </w:rPr>
      </w:pPr>
      <w:r w:rsidRPr="00C53E41">
        <w:rPr>
          <w:rFonts w:ascii="Arial" w:eastAsia="MS Gothic" w:hAnsi="Arial" w:cs="Arial"/>
          <w:bCs/>
          <w:lang w:val="en"/>
        </w:rPr>
        <w:t xml:space="preserve">These are designed to set up new projects or to perform pre-submission activities that are expected to result in the submission of a peer-reviewed clinical research application or securing industry support for a clinical research study. These </w:t>
      </w:r>
      <w:r w:rsidRPr="00C53E41">
        <w:rPr>
          <w:rFonts w:ascii="Arial" w:eastAsia="MS Gothic" w:hAnsi="Arial" w:cs="Arial"/>
          <w:bCs/>
          <w:lang w:val="en-CA"/>
        </w:rPr>
        <w:t xml:space="preserve">will be available to support clinical research, including studies of therapies, diagnostic tools, </w:t>
      </w:r>
      <w:proofErr w:type="gramStart"/>
      <w:r w:rsidRPr="00C53E41">
        <w:rPr>
          <w:rFonts w:ascii="Arial" w:eastAsia="MS Gothic" w:hAnsi="Arial" w:cs="Arial"/>
          <w:bCs/>
          <w:lang w:val="en-CA"/>
        </w:rPr>
        <w:t>pharmaceuticals</w:t>
      </w:r>
      <w:proofErr w:type="gramEnd"/>
      <w:r w:rsidRPr="00C53E41">
        <w:rPr>
          <w:rFonts w:ascii="Arial" w:eastAsia="MS Gothic" w:hAnsi="Arial" w:cs="Arial"/>
          <w:bCs/>
          <w:lang w:val="en-CA"/>
        </w:rPr>
        <w:t xml:space="preserve"> and prevention strategies in humans, as well as </w:t>
      </w:r>
      <w:r w:rsidRPr="00F831E1">
        <w:rPr>
          <w:rFonts w:ascii="Arial" w:eastAsia="MS Gothic" w:hAnsi="Arial" w:cs="Arial"/>
          <w:bCs/>
          <w:lang w:val="en-CA"/>
        </w:rPr>
        <w:t>comparative evaluations of those interventions against each other and against existing practices.</w:t>
      </w:r>
    </w:p>
    <w:p w14:paraId="4301E1BE" w14:textId="77777777" w:rsidR="006418A2" w:rsidRDefault="006418A2" w:rsidP="006418A2">
      <w:pPr>
        <w:tabs>
          <w:tab w:val="left" w:pos="90"/>
          <w:tab w:val="left" w:pos="426"/>
        </w:tabs>
        <w:spacing w:after="0" w:line="240" w:lineRule="auto"/>
        <w:ind w:left="360"/>
        <w:rPr>
          <w:rFonts w:ascii="Arial" w:eastAsia="MS Gothic" w:hAnsi="Arial" w:cs="Arial"/>
          <w:bCs/>
          <w:lang w:val="en-CA"/>
        </w:rPr>
      </w:pPr>
    </w:p>
    <w:p w14:paraId="56F04E49" w14:textId="72F29AB6" w:rsidR="00C53E41" w:rsidRPr="0043708A" w:rsidRDefault="00C53E41" w:rsidP="006418A2">
      <w:pPr>
        <w:tabs>
          <w:tab w:val="left" w:pos="90"/>
          <w:tab w:val="left" w:pos="426"/>
        </w:tabs>
        <w:spacing w:after="0" w:line="240" w:lineRule="auto"/>
        <w:ind w:left="360"/>
        <w:rPr>
          <w:rFonts w:ascii="Arial" w:eastAsia="MS Gothic" w:hAnsi="Arial" w:cs="Arial"/>
          <w:bCs/>
          <w:lang w:val="en-CA"/>
        </w:rPr>
      </w:pPr>
      <w:r w:rsidRPr="0043708A">
        <w:rPr>
          <w:rFonts w:ascii="Arial" w:eastAsia="MS Gothic" w:hAnsi="Arial" w:cs="Arial"/>
          <w:bCs/>
          <w:lang w:val="en-CA"/>
        </w:rPr>
        <w:t>Basic research related to identifiable human tissues, retrospective analyses, surveys, and other types of CIHR pillar 1 research are not eligible for funding by the CRF</w:t>
      </w:r>
      <w:r w:rsidRPr="00F831E1">
        <w:rPr>
          <w:rFonts w:ascii="Arial" w:eastAsia="MS Gothic" w:hAnsi="Arial" w:cs="Arial"/>
          <w:bCs/>
          <w:lang w:val="en-CA"/>
        </w:rPr>
        <w:t>.</w:t>
      </w:r>
    </w:p>
    <w:p w14:paraId="5BF823E1" w14:textId="77777777" w:rsidR="00C53E41" w:rsidRPr="0043708A" w:rsidRDefault="00C53E41" w:rsidP="006418A2">
      <w:pPr>
        <w:tabs>
          <w:tab w:val="left" w:pos="90"/>
          <w:tab w:val="left" w:pos="426"/>
        </w:tabs>
        <w:spacing w:after="0" w:line="240" w:lineRule="auto"/>
        <w:ind w:left="360"/>
        <w:rPr>
          <w:rFonts w:ascii="Arial" w:eastAsia="MS Gothic" w:hAnsi="Arial" w:cs="Arial"/>
          <w:bCs/>
          <w:lang w:val="en-CA"/>
        </w:rPr>
      </w:pPr>
    </w:p>
    <w:p w14:paraId="59855504" w14:textId="77777777" w:rsidR="00C53E41" w:rsidRPr="00C53E41" w:rsidRDefault="00C53E41" w:rsidP="006418A2">
      <w:pPr>
        <w:tabs>
          <w:tab w:val="left" w:pos="90"/>
          <w:tab w:val="left" w:pos="426"/>
        </w:tabs>
        <w:spacing w:after="0" w:line="240" w:lineRule="auto"/>
        <w:ind w:left="360"/>
        <w:rPr>
          <w:rFonts w:ascii="Arial" w:eastAsia="MS Gothic" w:hAnsi="Arial" w:cs="Arial"/>
          <w:bCs/>
        </w:rPr>
      </w:pPr>
      <w:r w:rsidRPr="00C53E41">
        <w:rPr>
          <w:rFonts w:ascii="Arial" w:eastAsia="MS Gothic" w:hAnsi="Arial" w:cs="Arial"/>
          <w:bCs/>
          <w:lang w:val="en"/>
        </w:rPr>
        <w:t xml:space="preserve">Applications for </w:t>
      </w:r>
      <w:proofErr w:type="spellStart"/>
      <w:r w:rsidRPr="00C53E41">
        <w:rPr>
          <w:rFonts w:ascii="Arial" w:eastAsia="MS Gothic" w:hAnsi="Arial" w:cs="Arial"/>
          <w:bCs/>
          <w:lang w:val="en"/>
        </w:rPr>
        <w:t>presubmission</w:t>
      </w:r>
      <w:proofErr w:type="spellEnd"/>
      <w:r w:rsidRPr="00C53E41">
        <w:rPr>
          <w:rFonts w:ascii="Arial" w:eastAsia="MS Gothic" w:hAnsi="Arial" w:cs="Arial"/>
          <w:bCs/>
          <w:lang w:val="en"/>
        </w:rPr>
        <w:t>, planning or data collection grants are available on an ongoing basis and applications will be accepted at any time.</w:t>
      </w:r>
    </w:p>
    <w:bookmarkEnd w:id="0"/>
    <w:bookmarkEnd w:id="1"/>
    <w:p w14:paraId="6B1B51F8" w14:textId="77777777" w:rsidR="00C53E41" w:rsidRPr="00C53E41" w:rsidRDefault="00C53E41" w:rsidP="006418A2">
      <w:pPr>
        <w:spacing w:after="0" w:line="240" w:lineRule="auto"/>
        <w:rPr>
          <w:rFonts w:ascii="Arial" w:hAnsi="Arial" w:cs="Arial"/>
          <w:b/>
        </w:rPr>
      </w:pPr>
    </w:p>
    <w:p w14:paraId="122476EE" w14:textId="77777777" w:rsidR="00C53E41"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 </w:t>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What kinds of research are eligible for these awards?</w:t>
      </w:r>
      <w:r w:rsidRPr="0043708A">
        <w:rPr>
          <w:rFonts w:ascii="Arial" w:eastAsia="Times New Roman" w:hAnsi="Arial" w:cs="Arial"/>
          <w:color w:val="222222"/>
          <w:lang w:val="en"/>
        </w:rPr>
        <w:br/>
        <w:t>Cancer-related applications are not eligible as there is a separate fund available for these applications administered through Alberta Cancer Clinical Trials</w:t>
      </w:r>
      <w:r w:rsidR="00C53E41">
        <w:rPr>
          <w:rFonts w:ascii="Arial" w:eastAsia="Times New Roman" w:hAnsi="Arial" w:cs="Arial"/>
          <w:color w:val="222222"/>
          <w:lang w:val="en"/>
        </w:rPr>
        <w:t xml:space="preserve"> - </w:t>
      </w:r>
      <w:r w:rsidR="00C53E41" w:rsidRPr="00470911">
        <w:rPr>
          <w:rFonts w:ascii="Arial" w:hAnsi="Arial" w:cs="Arial"/>
        </w:rPr>
        <w:t>http://www.albertacancerclinicaltrials.ca/researchers/funding-for-trials/</w:t>
      </w:r>
      <w:r w:rsidRPr="0043708A">
        <w:rPr>
          <w:rFonts w:ascii="Arial" w:eastAsia="Times New Roman" w:hAnsi="Arial" w:cs="Arial"/>
          <w:color w:val="222222"/>
          <w:lang w:val="en"/>
        </w:rPr>
        <w:t>.   </w:t>
      </w:r>
    </w:p>
    <w:p w14:paraId="1BF3483A" w14:textId="77777777" w:rsidR="00F831E1" w:rsidRDefault="000856BF" w:rsidP="006418A2">
      <w:pPr>
        <w:spacing w:after="0" w:line="240" w:lineRule="auto"/>
        <w:rPr>
          <w:rFonts w:ascii="Arial" w:eastAsia="Times New Roman" w:hAnsi="Arial" w:cs="Arial"/>
          <w:b/>
          <w:bCs/>
          <w:color w:val="222222"/>
          <w:u w:val="single"/>
          <w:lang w:val="en"/>
        </w:rPr>
      </w:pPr>
      <w:r w:rsidRPr="0043708A">
        <w:rPr>
          <w:rFonts w:ascii="Arial" w:eastAsia="Times New Roman" w:hAnsi="Arial" w:cs="Arial"/>
          <w:color w:val="222222"/>
          <w:lang w:val="en"/>
        </w:rPr>
        <w:br/>
      </w:r>
      <w:r w:rsidR="00C53E41" w:rsidRPr="0043708A">
        <w:rPr>
          <w:rFonts w:ascii="Arial" w:hAnsi="Arial" w:cs="Arial"/>
          <w:lang w:val="en-CA"/>
        </w:rPr>
        <w:t xml:space="preserve">Seed Grants and Pre-submission/Planning/Data Collection Grants will be available to support clinical research, including studies of therapies, diagnostic tools, pharmaceuticals and </w:t>
      </w:r>
      <w:r w:rsidR="00C53E41" w:rsidRPr="0043708A">
        <w:rPr>
          <w:rFonts w:ascii="Arial" w:hAnsi="Arial" w:cs="Arial"/>
          <w:lang w:val="en-CA"/>
        </w:rPr>
        <w:lastRenderedPageBreak/>
        <w:t>prevention strategies in humans, as well as comparative evaluations of those interventions against each other and against existing practices.</w:t>
      </w:r>
      <w:r w:rsidR="00C53E41" w:rsidRPr="0043708A">
        <w:rPr>
          <w:rStyle w:val="apple-converted-space"/>
          <w:rFonts w:ascii="Arial" w:hAnsi="Arial" w:cs="Arial"/>
          <w:lang w:val="en-CA"/>
        </w:rPr>
        <w:t> </w:t>
      </w:r>
      <w:r w:rsidR="00C53E41" w:rsidRPr="0043708A">
        <w:rPr>
          <w:rFonts w:ascii="Arial" w:hAnsi="Arial" w:cs="Arial"/>
          <w:lang w:val="en-CA"/>
        </w:rPr>
        <w:t>Basic research related to identifiable human tissues, retrospective analyses, surveys, and other types of CIHR pillar 1 research are not eligible for funding by the CRF.</w:t>
      </w:r>
      <w:r w:rsidRPr="0043708A">
        <w:rPr>
          <w:rFonts w:ascii="Arial" w:eastAsia="Times New Roman" w:hAnsi="Arial" w:cs="Arial"/>
          <w:color w:val="222222"/>
          <w:lang w:val="en"/>
        </w:rPr>
        <w:br/>
      </w:r>
    </w:p>
    <w:p w14:paraId="5F26A2A6" w14:textId="77777777" w:rsidR="00F831E1" w:rsidRDefault="000856BF" w:rsidP="006418A2">
      <w:pPr>
        <w:spacing w:after="0" w:line="240" w:lineRule="auto"/>
        <w:rPr>
          <w:rFonts w:ascii="Arial" w:eastAsia="Times New Roman" w:hAnsi="Arial" w:cs="Arial"/>
          <w:b/>
          <w:bCs/>
          <w:color w:val="222222"/>
          <w:u w:val="single"/>
          <w:lang w:val="en"/>
        </w:rPr>
      </w:pPr>
      <w:r w:rsidRPr="0043708A">
        <w:rPr>
          <w:rFonts w:ascii="Arial" w:eastAsia="Times New Roman" w:hAnsi="Arial" w:cs="Arial"/>
          <w:b/>
          <w:bCs/>
          <w:color w:val="222222"/>
          <w:u w:val="single"/>
          <w:lang w:val="en"/>
        </w:rPr>
        <w:t>Who is eligible to apply for these awards?</w:t>
      </w:r>
      <w:r w:rsidRPr="0043708A">
        <w:rPr>
          <w:rFonts w:ascii="Arial" w:eastAsia="Times New Roman" w:hAnsi="Arial" w:cs="Arial"/>
          <w:color w:val="222222"/>
          <w:lang w:val="en"/>
        </w:rPr>
        <w:br/>
      </w:r>
      <w:r w:rsidR="00C53E41" w:rsidRPr="00A92238">
        <w:rPr>
          <w:rFonts w:ascii="Arial" w:hAnsi="Arial" w:cs="Arial"/>
        </w:rPr>
        <w:t xml:space="preserve">These awards are available to all </w:t>
      </w:r>
      <w:bookmarkStart w:id="2" w:name="OLE_LINK1"/>
      <w:bookmarkStart w:id="3" w:name="OLE_LINK2"/>
      <w:proofErr w:type="spellStart"/>
      <w:r w:rsidR="00C53E41" w:rsidRPr="00A92238">
        <w:rPr>
          <w:rFonts w:ascii="Arial" w:hAnsi="Arial" w:cs="Arial"/>
        </w:rPr>
        <w:t>UC</w:t>
      </w:r>
      <w:bookmarkEnd w:id="2"/>
      <w:bookmarkEnd w:id="3"/>
      <w:r w:rsidR="00C53E41" w:rsidRPr="00A92238">
        <w:rPr>
          <w:rFonts w:ascii="Arial" w:hAnsi="Arial" w:cs="Arial"/>
        </w:rPr>
        <w:t>algary</w:t>
      </w:r>
      <w:proofErr w:type="spellEnd"/>
      <w:r w:rsidR="00C53E41" w:rsidRPr="00A92238">
        <w:rPr>
          <w:rFonts w:ascii="Arial" w:hAnsi="Arial" w:cs="Arial"/>
        </w:rPr>
        <w:t xml:space="preserve"> faculty</w:t>
      </w:r>
      <w:r w:rsidR="00C53E41">
        <w:rPr>
          <w:rFonts w:ascii="Arial" w:hAnsi="Arial" w:cs="Arial"/>
        </w:rPr>
        <w:t xml:space="preserve"> or researchers who hold an academic appointment.</w:t>
      </w:r>
      <w:r w:rsidRPr="0043708A">
        <w:rPr>
          <w:rFonts w:ascii="Arial" w:eastAsia="Times New Roman" w:hAnsi="Arial" w:cs="Arial"/>
          <w:color w:val="222222"/>
          <w:lang w:val="en"/>
        </w:rPr>
        <w:br/>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How many times can you apply? </w:t>
      </w:r>
      <w:r w:rsidRPr="0043708A">
        <w:rPr>
          <w:rFonts w:ascii="Arial" w:eastAsia="Times New Roman" w:hAnsi="Arial" w:cs="Arial"/>
          <w:color w:val="222222"/>
          <w:lang w:val="en"/>
        </w:rPr>
        <w:br/>
      </w:r>
      <w:r w:rsidRPr="0043708A">
        <w:rPr>
          <w:rFonts w:ascii="Arial" w:eastAsia="Times New Roman" w:hAnsi="Arial" w:cs="Arial"/>
          <w:color w:val="000000"/>
          <w:lang w:val="en"/>
        </w:rPr>
        <w:t xml:space="preserve">No more than two grants (one of each type) (pre-submission, seed or major) can be held by a given principal investigator at any one time. </w:t>
      </w:r>
      <w:r w:rsidR="00C53E41" w:rsidRPr="00666C79">
        <w:rPr>
          <w:rFonts w:ascii="Arial" w:hAnsi="Arial" w:cs="Arial"/>
          <w:lang w:val="en-CA"/>
        </w:rPr>
        <w:t xml:space="preserve">A maximum of 1 application per year (either a seed grant or </w:t>
      </w:r>
      <w:proofErr w:type="spellStart"/>
      <w:r w:rsidR="00C53E41" w:rsidRPr="00666C79">
        <w:rPr>
          <w:rFonts w:ascii="Arial" w:hAnsi="Arial" w:cs="Arial"/>
          <w:lang w:val="en-CA"/>
        </w:rPr>
        <w:t>presubmission</w:t>
      </w:r>
      <w:proofErr w:type="spellEnd"/>
      <w:r w:rsidR="00C53E41" w:rsidRPr="00666C79">
        <w:rPr>
          <w:rFonts w:ascii="Arial" w:hAnsi="Arial" w:cs="Arial"/>
          <w:lang w:val="en-CA"/>
        </w:rPr>
        <w:t xml:space="preserve"> grant, but not both) to the CRF is permitted per calendar year</w:t>
      </w:r>
      <w:r w:rsidR="00C53E41" w:rsidRPr="0084016D" w:rsidDel="0084016D">
        <w:rPr>
          <w:rFonts w:ascii="Arial" w:hAnsi="Arial" w:cs="Arial"/>
          <w:color w:val="222222"/>
          <w:lang w:val="en-CA"/>
        </w:rPr>
        <w:t xml:space="preserve"> </w:t>
      </w:r>
      <w:r w:rsidR="00C53E41" w:rsidRPr="00A92238">
        <w:rPr>
          <w:rFonts w:ascii="Arial" w:hAnsi="Arial" w:cs="Arial"/>
          <w:color w:val="222222"/>
          <w:lang w:val="en-CA"/>
        </w:rPr>
        <w:t>(January 1 - December 31).</w:t>
      </w:r>
      <w:r w:rsidRPr="0043708A">
        <w:rPr>
          <w:rFonts w:ascii="Arial" w:eastAsia="Times New Roman" w:hAnsi="Arial" w:cs="Arial"/>
          <w:color w:val="222222"/>
          <w:lang w:val="en"/>
        </w:rPr>
        <w:br/>
      </w:r>
    </w:p>
    <w:p w14:paraId="782D3763" w14:textId="77777777" w:rsidR="006418A2"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b/>
          <w:bCs/>
          <w:color w:val="222222"/>
          <w:u w:val="single"/>
          <w:lang w:val="en"/>
        </w:rPr>
        <w:t>What are the budget limits for these awards?</w:t>
      </w:r>
      <w:r w:rsidRPr="0043708A">
        <w:rPr>
          <w:rFonts w:ascii="Arial" w:eastAsia="Times New Roman" w:hAnsi="Arial" w:cs="Arial"/>
          <w:color w:val="222222"/>
          <w:lang w:val="en"/>
        </w:rPr>
        <w:br/>
        <w:t>Seed Grants have a maximum budget of $50,000; Pre-submission/planning/data collection grants have a maximum budget of $10,000. Budgets must be well justified and requests may be made for amounts smaller than the maximum. Applicants must demonstrate that there is no conceptual overlap with already funded projects to the satisfaction of the reviewers.</w:t>
      </w:r>
    </w:p>
    <w:p w14:paraId="683AA261" w14:textId="1D5B4685" w:rsidR="000856BF" w:rsidRPr="0043708A"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 xml:space="preserve"> </w:t>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What are the reporting requirements for these awards?</w:t>
      </w:r>
      <w:r w:rsidRPr="0043708A">
        <w:rPr>
          <w:rFonts w:ascii="Arial" w:eastAsia="Times New Roman" w:hAnsi="Arial" w:cs="Arial"/>
          <w:color w:val="222222"/>
          <w:lang w:val="en"/>
        </w:rPr>
        <w:br/>
        <w:t xml:space="preserve">Grant recipients will be required to provide CCCR </w:t>
      </w:r>
      <w:r w:rsidR="006418A2">
        <w:rPr>
          <w:rFonts w:ascii="Arial" w:eastAsia="Times New Roman" w:hAnsi="Arial" w:cs="Arial"/>
          <w:color w:val="222222"/>
          <w:lang w:val="en"/>
        </w:rPr>
        <w:t xml:space="preserve">with </w:t>
      </w:r>
      <w:r w:rsidRPr="0043708A">
        <w:rPr>
          <w:rFonts w:ascii="Arial" w:eastAsia="Times New Roman" w:hAnsi="Arial" w:cs="Arial"/>
          <w:color w:val="222222"/>
          <w:lang w:val="en"/>
        </w:rPr>
        <w:t>an annual progress report and a statement of expenditures through the online review system. The successful CRF fund should be acknowledged in all related presentations and publications.</w:t>
      </w:r>
      <w:r w:rsidRPr="0043708A">
        <w:rPr>
          <w:rFonts w:ascii="Arial" w:eastAsia="Times New Roman" w:hAnsi="Arial" w:cs="Arial"/>
          <w:color w:val="222222"/>
          <w:lang w:val="en"/>
        </w:rPr>
        <w:br/>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What are my obligations as a grant recipient?</w:t>
      </w:r>
      <w:r w:rsidRPr="0043708A">
        <w:rPr>
          <w:rFonts w:ascii="Arial" w:eastAsia="Times New Roman" w:hAnsi="Arial" w:cs="Arial"/>
          <w:color w:val="222222"/>
          <w:lang w:val="en"/>
        </w:rPr>
        <w:t xml:space="preserve"> </w:t>
      </w:r>
    </w:p>
    <w:p w14:paraId="2C74488B" w14:textId="77777777" w:rsidR="000856BF" w:rsidRPr="0043708A" w:rsidRDefault="000856BF" w:rsidP="006418A2">
      <w:pPr>
        <w:numPr>
          <w:ilvl w:val="0"/>
          <w:numId w:val="1"/>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Successful applicants and their co-investigators are expected to participate in the review of future CRF grants. Failure to participate in reviews may lead to cancellation or suspension of an existing reward, or to ineligibility to apply to the CRF</w:t>
      </w:r>
    </w:p>
    <w:p w14:paraId="040FC628" w14:textId="77777777" w:rsidR="000856BF" w:rsidRPr="0043708A" w:rsidRDefault="000856BF" w:rsidP="006418A2">
      <w:pPr>
        <w:numPr>
          <w:ilvl w:val="0"/>
          <w:numId w:val="1"/>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All grant recipients must comply with the reporting and expenditure requirements as stated on the Notice of Award</w:t>
      </w:r>
    </w:p>
    <w:p w14:paraId="6C318ED9" w14:textId="3E64A3B2" w:rsidR="000856BF" w:rsidRPr="0043708A" w:rsidRDefault="000856BF" w:rsidP="006418A2">
      <w:pPr>
        <w:numPr>
          <w:ilvl w:val="0"/>
          <w:numId w:val="1"/>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Accepting a Pre-Submission or Seed CRF grant constitutes a commitment to apply for a related Tri-Council grant within two years of receipt</w:t>
      </w:r>
    </w:p>
    <w:p w14:paraId="78FB8821" w14:textId="77777777" w:rsidR="006418A2" w:rsidRDefault="006418A2" w:rsidP="006418A2">
      <w:pPr>
        <w:spacing w:after="0" w:line="240" w:lineRule="auto"/>
        <w:rPr>
          <w:rFonts w:ascii="Arial" w:eastAsia="Times New Roman" w:hAnsi="Arial" w:cs="Arial"/>
          <w:b/>
          <w:bCs/>
          <w:color w:val="222222"/>
          <w:u w:val="single"/>
          <w:lang w:val="en"/>
        </w:rPr>
      </w:pPr>
    </w:p>
    <w:p w14:paraId="4441FC04" w14:textId="51AD1B42" w:rsidR="000856BF" w:rsidRPr="0043708A"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b/>
          <w:bCs/>
          <w:color w:val="222222"/>
          <w:u w:val="single"/>
          <w:lang w:val="en"/>
        </w:rPr>
        <w:t>What is the duration of each grant?</w:t>
      </w:r>
      <w:r w:rsidRPr="0043708A">
        <w:rPr>
          <w:rFonts w:ascii="Arial" w:eastAsia="Times New Roman" w:hAnsi="Arial" w:cs="Arial"/>
          <w:color w:val="222222"/>
          <w:lang w:val="en"/>
        </w:rPr>
        <w:t xml:space="preserve"> </w:t>
      </w:r>
    </w:p>
    <w:p w14:paraId="326DEF8F" w14:textId="77777777" w:rsidR="000856BF" w:rsidRPr="0043708A" w:rsidRDefault="000856BF" w:rsidP="006418A2">
      <w:pPr>
        <w:numPr>
          <w:ilvl w:val="0"/>
          <w:numId w:val="2"/>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Pre-submission – 1 year</w:t>
      </w:r>
    </w:p>
    <w:p w14:paraId="3E8C0D14" w14:textId="77777777" w:rsidR="000856BF" w:rsidRPr="0043708A" w:rsidRDefault="000856BF" w:rsidP="006418A2">
      <w:pPr>
        <w:numPr>
          <w:ilvl w:val="0"/>
          <w:numId w:val="2"/>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Seed grant – 2 years</w:t>
      </w:r>
    </w:p>
    <w:p w14:paraId="430BFFE4" w14:textId="77777777" w:rsidR="006418A2" w:rsidRDefault="006418A2" w:rsidP="006418A2">
      <w:pPr>
        <w:spacing w:after="0" w:line="240" w:lineRule="auto"/>
        <w:rPr>
          <w:rFonts w:ascii="Arial" w:eastAsia="Times New Roman" w:hAnsi="Arial" w:cs="Arial"/>
          <w:color w:val="222222"/>
          <w:lang w:val="en"/>
        </w:rPr>
      </w:pPr>
    </w:p>
    <w:p w14:paraId="1DDE80B9" w14:textId="64A257B7" w:rsidR="00C53E41" w:rsidRPr="00A92238" w:rsidRDefault="000856BF" w:rsidP="006418A2">
      <w:pPr>
        <w:spacing w:after="0" w:line="240" w:lineRule="auto"/>
        <w:rPr>
          <w:rFonts w:ascii="Arial" w:hAnsi="Arial" w:cs="Arial"/>
        </w:rPr>
      </w:pPr>
      <w:r w:rsidRPr="0043708A">
        <w:rPr>
          <w:rFonts w:ascii="Arial" w:eastAsia="Times New Roman" w:hAnsi="Arial" w:cs="Arial"/>
          <w:color w:val="222222"/>
          <w:lang w:val="en"/>
        </w:rPr>
        <w:t>Funds must be used within the duration of the grant. Extensions may be granted at the discretion of the ACT committee.</w:t>
      </w:r>
      <w:r w:rsidR="00C53E41">
        <w:rPr>
          <w:rFonts w:ascii="Arial" w:eastAsia="Times New Roman" w:hAnsi="Arial" w:cs="Arial"/>
          <w:color w:val="222222"/>
          <w:lang w:val="en"/>
        </w:rPr>
        <w:t xml:space="preserve"> </w:t>
      </w:r>
      <w:r w:rsidR="00C53E41">
        <w:rPr>
          <w:rFonts w:ascii="Arial" w:hAnsi="Arial" w:cs="Arial"/>
        </w:rPr>
        <w:t xml:space="preserve">Please email </w:t>
      </w:r>
      <w:hyperlink r:id="rId8" w:history="1">
        <w:r w:rsidR="00C53E41" w:rsidRPr="001352C3">
          <w:rPr>
            <w:rStyle w:val="Hyperlink"/>
            <w:rFonts w:ascii="Arial" w:hAnsi="Arial" w:cs="Arial"/>
          </w:rPr>
          <w:t>cccr@ucalgary.ca</w:t>
        </w:r>
      </w:hyperlink>
      <w:r w:rsidR="00C53E41">
        <w:rPr>
          <w:rFonts w:ascii="Arial" w:hAnsi="Arial" w:cs="Arial"/>
        </w:rPr>
        <w:t xml:space="preserve"> if you require an extension.</w:t>
      </w:r>
    </w:p>
    <w:p w14:paraId="7BFD057B" w14:textId="77777777" w:rsidR="000856BF" w:rsidRPr="0043708A" w:rsidRDefault="000856BF" w:rsidP="006418A2">
      <w:pPr>
        <w:spacing w:after="0" w:line="240" w:lineRule="auto"/>
        <w:rPr>
          <w:rFonts w:ascii="Arial" w:eastAsia="Times New Roman" w:hAnsi="Arial" w:cs="Arial"/>
          <w:color w:val="222222"/>
          <w:lang w:val="en"/>
        </w:rPr>
      </w:pPr>
    </w:p>
    <w:p w14:paraId="34C83C71" w14:textId="77777777" w:rsidR="000856BF" w:rsidRPr="0043708A"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b/>
          <w:bCs/>
          <w:color w:val="222222"/>
          <w:u w:val="single"/>
          <w:lang w:val="en"/>
        </w:rPr>
        <w:t>Can non-</w:t>
      </w:r>
      <w:proofErr w:type="spellStart"/>
      <w:r w:rsidRPr="0043708A">
        <w:rPr>
          <w:rFonts w:ascii="Arial" w:eastAsia="Times New Roman" w:hAnsi="Arial" w:cs="Arial"/>
          <w:b/>
          <w:bCs/>
          <w:color w:val="222222"/>
          <w:u w:val="single"/>
          <w:lang w:val="en"/>
        </w:rPr>
        <w:t>UCalgary</w:t>
      </w:r>
      <w:proofErr w:type="spellEnd"/>
      <w:r w:rsidRPr="0043708A">
        <w:rPr>
          <w:rFonts w:ascii="Arial" w:eastAsia="Times New Roman" w:hAnsi="Arial" w:cs="Arial"/>
          <w:b/>
          <w:bCs/>
          <w:color w:val="222222"/>
          <w:u w:val="single"/>
          <w:lang w:val="en"/>
        </w:rPr>
        <w:t xml:space="preserve"> researchers or </w:t>
      </w:r>
      <w:proofErr w:type="spellStart"/>
      <w:r w:rsidRPr="0043708A">
        <w:rPr>
          <w:rFonts w:ascii="Arial" w:eastAsia="Times New Roman" w:hAnsi="Arial" w:cs="Arial"/>
          <w:b/>
          <w:bCs/>
          <w:color w:val="222222"/>
          <w:u w:val="single"/>
          <w:lang w:val="en"/>
        </w:rPr>
        <w:t>UCalgary</w:t>
      </w:r>
      <w:proofErr w:type="spellEnd"/>
      <w:r w:rsidRPr="0043708A">
        <w:rPr>
          <w:rFonts w:ascii="Arial" w:eastAsia="Times New Roman" w:hAnsi="Arial" w:cs="Arial"/>
          <w:b/>
          <w:bCs/>
          <w:color w:val="222222"/>
          <w:u w:val="single"/>
          <w:lang w:val="en"/>
        </w:rPr>
        <w:t xml:space="preserve"> post-doctoral students be co-investigators for a CRF grant?</w:t>
      </w:r>
      <w:r w:rsidRPr="0043708A">
        <w:rPr>
          <w:rFonts w:ascii="Arial" w:eastAsia="Times New Roman" w:hAnsi="Arial" w:cs="Arial"/>
          <w:color w:val="222222"/>
          <w:lang w:val="en"/>
        </w:rPr>
        <w:t xml:space="preserve"> </w:t>
      </w:r>
    </w:p>
    <w:p w14:paraId="00C37F2A" w14:textId="77777777" w:rsidR="000856BF" w:rsidRPr="0043708A" w:rsidRDefault="000856BF" w:rsidP="006418A2">
      <w:pPr>
        <w:numPr>
          <w:ilvl w:val="0"/>
          <w:numId w:val="5"/>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Pre-submission – Yes</w:t>
      </w:r>
    </w:p>
    <w:p w14:paraId="66F22601" w14:textId="77777777" w:rsidR="000856BF" w:rsidRPr="0043708A" w:rsidRDefault="000856BF" w:rsidP="006418A2">
      <w:pPr>
        <w:numPr>
          <w:ilvl w:val="0"/>
          <w:numId w:val="5"/>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Seed grant – Yes</w:t>
      </w:r>
    </w:p>
    <w:p w14:paraId="72A8D398" w14:textId="77777777" w:rsidR="000856BF" w:rsidRPr="0043708A"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In all cases, the role of the external investigators should be specified.</w:t>
      </w:r>
      <w:r w:rsidRPr="0043708A">
        <w:rPr>
          <w:rFonts w:ascii="Arial" w:eastAsia="Times New Roman" w:hAnsi="Arial" w:cs="Arial"/>
          <w:color w:val="222222"/>
          <w:lang w:val="en"/>
        </w:rPr>
        <w:br/>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What are the CRF grant deadlines?</w:t>
      </w:r>
      <w:r w:rsidRPr="0043708A">
        <w:rPr>
          <w:rFonts w:ascii="Arial" w:eastAsia="Times New Roman" w:hAnsi="Arial" w:cs="Arial"/>
          <w:color w:val="222222"/>
          <w:lang w:val="en"/>
        </w:rPr>
        <w:t xml:space="preserve"> </w:t>
      </w:r>
    </w:p>
    <w:p w14:paraId="51CA74B7" w14:textId="77777777" w:rsidR="000856BF" w:rsidRPr="0043708A" w:rsidRDefault="000856BF" w:rsidP="006418A2">
      <w:pPr>
        <w:numPr>
          <w:ilvl w:val="0"/>
          <w:numId w:val="6"/>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Pre-submission – (Maximum $10,000) – No deadline (can be submitted at any time)</w:t>
      </w:r>
    </w:p>
    <w:p w14:paraId="5EEC6C1E" w14:textId="77777777" w:rsidR="000856BF" w:rsidRPr="0043708A" w:rsidRDefault="000856BF" w:rsidP="006418A2">
      <w:pPr>
        <w:numPr>
          <w:ilvl w:val="0"/>
          <w:numId w:val="6"/>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Seed grant – (Maximum $50,000) – July 15 and December 15 - 11:59 pm MST</w:t>
      </w:r>
    </w:p>
    <w:p w14:paraId="2EFC9A5C" w14:textId="77777777" w:rsidR="000856BF" w:rsidRPr="0043708A" w:rsidRDefault="000856BF" w:rsidP="006418A2">
      <w:p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lastRenderedPageBreak/>
        <w:t>Late or incomplete applications will not be reviewed.</w:t>
      </w:r>
      <w:r w:rsidRPr="0043708A">
        <w:rPr>
          <w:rFonts w:ascii="Arial" w:eastAsia="Times New Roman" w:hAnsi="Arial" w:cs="Arial"/>
          <w:color w:val="222222"/>
          <w:lang w:val="en"/>
        </w:rPr>
        <w:br/>
      </w:r>
      <w:r w:rsidRPr="0043708A">
        <w:rPr>
          <w:rFonts w:ascii="Arial" w:eastAsia="Times New Roman" w:hAnsi="Arial" w:cs="Arial"/>
          <w:color w:val="222222"/>
          <w:lang w:val="en"/>
        </w:rPr>
        <w:br/>
      </w:r>
      <w:r w:rsidRPr="0043708A">
        <w:rPr>
          <w:rFonts w:ascii="Arial" w:eastAsia="Times New Roman" w:hAnsi="Arial" w:cs="Arial"/>
          <w:b/>
          <w:bCs/>
          <w:color w:val="222222"/>
          <w:u w:val="single"/>
          <w:lang w:val="en"/>
        </w:rPr>
        <w:t xml:space="preserve">What type of CV should be submitted? </w:t>
      </w:r>
    </w:p>
    <w:p w14:paraId="2BBA7EA2" w14:textId="77777777" w:rsidR="000856BF" w:rsidRPr="0043708A" w:rsidRDefault="000856BF" w:rsidP="006418A2">
      <w:pPr>
        <w:numPr>
          <w:ilvl w:val="0"/>
          <w:numId w:val="7"/>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There is no prescribed format for the CV. Applicants should submit the CV that will best highlight their relevant track record and expertise.</w:t>
      </w:r>
    </w:p>
    <w:p w14:paraId="2C98E412" w14:textId="77777777" w:rsidR="000856BF" w:rsidRPr="0043708A" w:rsidRDefault="000856BF" w:rsidP="006418A2">
      <w:pPr>
        <w:numPr>
          <w:ilvl w:val="0"/>
          <w:numId w:val="7"/>
        </w:numPr>
        <w:spacing w:after="0" w:line="240" w:lineRule="auto"/>
        <w:rPr>
          <w:rFonts w:ascii="Arial" w:eastAsia="Times New Roman" w:hAnsi="Arial" w:cs="Arial"/>
          <w:color w:val="222222"/>
          <w:lang w:val="en"/>
        </w:rPr>
      </w:pPr>
      <w:r w:rsidRPr="0043708A">
        <w:rPr>
          <w:rFonts w:ascii="Arial" w:eastAsia="Times New Roman" w:hAnsi="Arial" w:cs="Arial"/>
          <w:color w:val="222222"/>
          <w:lang w:val="en"/>
        </w:rPr>
        <w:t>Seed and Pre-Submission should include the CV of the PI only</w:t>
      </w:r>
    </w:p>
    <w:p w14:paraId="00724A81" w14:textId="77777777" w:rsidR="009F2028" w:rsidRPr="0043708A" w:rsidRDefault="009F2028" w:rsidP="006418A2">
      <w:pPr>
        <w:spacing w:after="0" w:line="240" w:lineRule="auto"/>
        <w:rPr>
          <w:rFonts w:ascii="Arial" w:hAnsi="Arial" w:cs="Arial"/>
        </w:rPr>
      </w:pPr>
    </w:p>
    <w:sectPr w:rsidR="009F2028" w:rsidRPr="0043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E0C9D"/>
    <w:multiLevelType w:val="multilevel"/>
    <w:tmpl w:val="1C3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F739A"/>
    <w:multiLevelType w:val="hybridMultilevel"/>
    <w:tmpl w:val="12A82EB0"/>
    <w:lvl w:ilvl="0" w:tplc="82E6253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441E2"/>
    <w:multiLevelType w:val="multilevel"/>
    <w:tmpl w:val="6AB2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C48D0"/>
    <w:multiLevelType w:val="multilevel"/>
    <w:tmpl w:val="4FD0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B7FBA"/>
    <w:multiLevelType w:val="multilevel"/>
    <w:tmpl w:val="8F5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55622"/>
    <w:multiLevelType w:val="multilevel"/>
    <w:tmpl w:val="5D40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922B6"/>
    <w:multiLevelType w:val="multilevel"/>
    <w:tmpl w:val="AA6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D366B"/>
    <w:multiLevelType w:val="multilevel"/>
    <w:tmpl w:val="AB9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B5593"/>
    <w:multiLevelType w:val="multilevel"/>
    <w:tmpl w:val="61B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BF"/>
    <w:rsid w:val="0004097E"/>
    <w:rsid w:val="00082D5E"/>
    <w:rsid w:val="000856BF"/>
    <w:rsid w:val="00376F3B"/>
    <w:rsid w:val="0043708A"/>
    <w:rsid w:val="006418A2"/>
    <w:rsid w:val="006C27D6"/>
    <w:rsid w:val="00943A16"/>
    <w:rsid w:val="009F2028"/>
    <w:rsid w:val="00C53E41"/>
    <w:rsid w:val="00F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0DF7"/>
  <w15:chartTrackingRefBased/>
  <w15:docId w15:val="{A252A9D6-9553-45BB-A3FA-6BFCFC2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56BF"/>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6BF"/>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0856BF"/>
    <w:rPr>
      <w:strike w:val="0"/>
      <w:dstrike w:val="0"/>
      <w:color w:val="19A9E5"/>
      <w:u w:val="none"/>
      <w:effect w:val="none"/>
      <w:shd w:val="clear" w:color="auto" w:fill="auto"/>
    </w:rPr>
  </w:style>
  <w:style w:type="character" w:styleId="Strong">
    <w:name w:val="Strong"/>
    <w:basedOn w:val="DefaultParagraphFont"/>
    <w:uiPriority w:val="22"/>
    <w:qFormat/>
    <w:rsid w:val="000856BF"/>
    <w:rPr>
      <w:b/>
      <w:bCs/>
    </w:rPr>
  </w:style>
  <w:style w:type="paragraph" w:styleId="BalloonText">
    <w:name w:val="Balloon Text"/>
    <w:basedOn w:val="Normal"/>
    <w:link w:val="BalloonTextChar"/>
    <w:uiPriority w:val="99"/>
    <w:semiHidden/>
    <w:unhideWhenUsed/>
    <w:rsid w:val="00C5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41"/>
    <w:rPr>
      <w:rFonts w:ascii="Segoe UI" w:hAnsi="Segoe UI" w:cs="Segoe UI"/>
      <w:sz w:val="18"/>
      <w:szCs w:val="18"/>
    </w:rPr>
  </w:style>
  <w:style w:type="character" w:customStyle="1" w:styleId="apple-converted-space">
    <w:name w:val="apple-converted-space"/>
    <w:basedOn w:val="DefaultParagraphFont"/>
    <w:rsid w:val="00C53E41"/>
  </w:style>
  <w:style w:type="paragraph" w:styleId="ListParagraph">
    <w:name w:val="List Paragraph"/>
    <w:basedOn w:val="Normal"/>
    <w:uiPriority w:val="34"/>
    <w:qFormat/>
    <w:rsid w:val="00F8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858673">
      <w:bodyDiv w:val="1"/>
      <w:marLeft w:val="0"/>
      <w:marRight w:val="0"/>
      <w:marTop w:val="0"/>
      <w:marBottom w:val="0"/>
      <w:divBdr>
        <w:top w:val="none" w:sz="0" w:space="0" w:color="auto"/>
        <w:left w:val="none" w:sz="0" w:space="0" w:color="auto"/>
        <w:bottom w:val="none" w:sz="0" w:space="0" w:color="auto"/>
        <w:right w:val="none" w:sz="0" w:space="0" w:color="auto"/>
      </w:divBdr>
      <w:divsChild>
        <w:div w:id="108739254">
          <w:marLeft w:val="0"/>
          <w:marRight w:val="0"/>
          <w:marTop w:val="0"/>
          <w:marBottom w:val="0"/>
          <w:divBdr>
            <w:top w:val="none" w:sz="0" w:space="0" w:color="auto"/>
            <w:left w:val="none" w:sz="0" w:space="0" w:color="auto"/>
            <w:bottom w:val="none" w:sz="0" w:space="0" w:color="auto"/>
            <w:right w:val="none" w:sz="0" w:space="0" w:color="auto"/>
          </w:divBdr>
          <w:divsChild>
            <w:div w:id="120466115">
              <w:marLeft w:val="0"/>
              <w:marRight w:val="0"/>
              <w:marTop w:val="0"/>
              <w:marBottom w:val="0"/>
              <w:divBdr>
                <w:top w:val="none" w:sz="0" w:space="0" w:color="auto"/>
                <w:left w:val="none" w:sz="0" w:space="0" w:color="auto"/>
                <w:bottom w:val="none" w:sz="0" w:space="0" w:color="auto"/>
                <w:right w:val="none" w:sz="0" w:space="0" w:color="auto"/>
              </w:divBdr>
              <w:divsChild>
                <w:div w:id="1678459779">
                  <w:marLeft w:val="0"/>
                  <w:marRight w:val="0"/>
                  <w:marTop w:val="0"/>
                  <w:marBottom w:val="0"/>
                  <w:divBdr>
                    <w:top w:val="none" w:sz="0" w:space="0" w:color="auto"/>
                    <w:left w:val="none" w:sz="0" w:space="0" w:color="auto"/>
                    <w:bottom w:val="none" w:sz="0" w:space="0" w:color="auto"/>
                    <w:right w:val="none" w:sz="0" w:space="0" w:color="auto"/>
                  </w:divBdr>
                  <w:divsChild>
                    <w:div w:id="34669901">
                      <w:marLeft w:val="0"/>
                      <w:marRight w:val="0"/>
                      <w:marTop w:val="0"/>
                      <w:marBottom w:val="0"/>
                      <w:divBdr>
                        <w:top w:val="none" w:sz="0" w:space="0" w:color="auto"/>
                        <w:left w:val="none" w:sz="0" w:space="0" w:color="auto"/>
                        <w:bottom w:val="none" w:sz="0" w:space="0" w:color="auto"/>
                        <w:right w:val="none" w:sz="0" w:space="0" w:color="auto"/>
                      </w:divBdr>
                      <w:divsChild>
                        <w:div w:id="819881317">
                          <w:marLeft w:val="0"/>
                          <w:marRight w:val="0"/>
                          <w:marTop w:val="0"/>
                          <w:marBottom w:val="0"/>
                          <w:divBdr>
                            <w:top w:val="none" w:sz="0" w:space="0" w:color="auto"/>
                            <w:left w:val="none" w:sz="0" w:space="0" w:color="auto"/>
                            <w:bottom w:val="none" w:sz="0" w:space="0" w:color="auto"/>
                            <w:right w:val="none" w:sz="0" w:space="0" w:color="auto"/>
                          </w:divBdr>
                        </w:div>
                      </w:divsChild>
                    </w:div>
                    <w:div w:id="1178887501">
                      <w:marLeft w:val="0"/>
                      <w:marRight w:val="0"/>
                      <w:marTop w:val="0"/>
                      <w:marBottom w:val="0"/>
                      <w:divBdr>
                        <w:top w:val="none" w:sz="0" w:space="0" w:color="auto"/>
                        <w:left w:val="none" w:sz="0" w:space="0" w:color="auto"/>
                        <w:bottom w:val="none" w:sz="0" w:space="0" w:color="auto"/>
                        <w:right w:val="none" w:sz="0" w:space="0" w:color="auto"/>
                      </w:divBdr>
                      <w:divsChild>
                        <w:div w:id="932319642">
                          <w:marLeft w:val="0"/>
                          <w:marRight w:val="0"/>
                          <w:marTop w:val="0"/>
                          <w:marBottom w:val="0"/>
                          <w:divBdr>
                            <w:top w:val="none" w:sz="0" w:space="0" w:color="auto"/>
                            <w:left w:val="none" w:sz="0" w:space="0" w:color="auto"/>
                            <w:bottom w:val="none" w:sz="0" w:space="0" w:color="auto"/>
                            <w:right w:val="none" w:sz="0" w:space="0" w:color="auto"/>
                          </w:divBdr>
                          <w:divsChild>
                            <w:div w:id="399136655">
                              <w:marLeft w:val="0"/>
                              <w:marRight w:val="0"/>
                              <w:marTop w:val="0"/>
                              <w:marBottom w:val="0"/>
                              <w:divBdr>
                                <w:top w:val="none" w:sz="0" w:space="0" w:color="auto"/>
                                <w:left w:val="none" w:sz="0" w:space="0" w:color="auto"/>
                                <w:bottom w:val="none" w:sz="0" w:space="0" w:color="auto"/>
                                <w:right w:val="none" w:sz="0" w:space="0" w:color="auto"/>
                              </w:divBdr>
                              <w:divsChild>
                                <w:div w:id="271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r@ucalgary.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88144A58AA45AD2AEB673D247E3B" ma:contentTypeVersion="13" ma:contentTypeDescription="Create a new document." ma:contentTypeScope="" ma:versionID="b817a50c6161b7c79fc4afb6f5f326f0">
  <xsd:schema xmlns:xsd="http://www.w3.org/2001/XMLSchema" xmlns:xs="http://www.w3.org/2001/XMLSchema" xmlns:p="http://schemas.microsoft.com/office/2006/metadata/properties" xmlns:ns2="1624af6a-ab28-42fd-8328-440f6357f3e7" xmlns:ns3="9cb9bd1b-55de-43d6-974d-bb2df79ca63d" targetNamespace="http://schemas.microsoft.com/office/2006/metadata/properties" ma:root="true" ma:fieldsID="022be2f07d432e0a272d31517798a42f" ns2:_="" ns3:_="">
    <xsd:import namespace="1624af6a-ab28-42fd-8328-440f6357f3e7"/>
    <xsd:import namespace="9cb9bd1b-55de-43d6-974d-bb2df79ca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af6a-ab28-42fd-8328-440f6357f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9bd1b-55de-43d6-974d-bb2df79ca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D6B17-B5DA-418C-B793-408A7618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af6a-ab28-42fd-8328-440f6357f3e7"/>
    <ds:schemaRef ds:uri="9cb9bd1b-55de-43d6-974d-bb2df79ca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E5ACE-4FB3-4D92-B0CB-1173BCB83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B8530-54A6-46F1-B128-DA3D253A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Mauthe-Kaddoura</dc:creator>
  <cp:keywords/>
  <dc:description/>
  <cp:lastModifiedBy>Marcello Tonelli</cp:lastModifiedBy>
  <cp:revision>3</cp:revision>
  <dcterms:created xsi:type="dcterms:W3CDTF">2021-07-20T12:50:00Z</dcterms:created>
  <dcterms:modified xsi:type="dcterms:W3CDTF">2021-07-20T12:51:00Z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0x0101004FF388144A58AA45AD2AEB673D247E3B</vt:lpwstr>
  </property>
</Properties>
</file>